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9C2141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9C2141" w:rsidRPr="00F13ABB" w:rsidRDefault="009C2141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45" name="Kép 45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C2141" w:rsidRPr="00F13ABB" w:rsidRDefault="009C2141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12.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44" name="Kép 44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141" w:rsidRPr="00F13ABB" w:rsidTr="00F0505C">
        <w:trPr>
          <w:cantSplit/>
          <w:trHeight w:val="3973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9C2141" w:rsidRPr="00F13ABB" w:rsidRDefault="009C2141" w:rsidP="00F0505C">
            <w:pPr>
              <w:rPr>
                <w:rFonts w:ascii="Garamond" w:hAnsi="Garamond"/>
                <w:sz w:val="8"/>
                <w:szCs w:val="8"/>
              </w:rPr>
            </w:pPr>
            <w:r w:rsidRPr="00F13ABB">
              <w:rPr>
                <w:rFonts w:ascii="Garamond" w:hAnsi="Garamond"/>
              </w:rPr>
              <w:t>Válassz ki egy Mátyás királyról is szóló könyvet, és készíts róla 15-20 sornyi könyvajánlást kortársaid számára!</w:t>
            </w:r>
          </w:p>
          <w:p w:rsidR="009C2141" w:rsidRPr="00F13ABB" w:rsidRDefault="009C2141" w:rsidP="00F0505C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30"/>
              <w:gridCol w:w="1658"/>
            </w:tblGrid>
            <w:tr w:rsidR="009C2141" w:rsidRPr="00F13ABB" w:rsidTr="00F0505C">
              <w:trPr>
                <w:trHeight w:val="343"/>
                <w:jc w:val="center"/>
              </w:trPr>
              <w:tc>
                <w:tcPr>
                  <w:tcW w:w="3730" w:type="dxa"/>
                  <w:shd w:val="clear" w:color="auto" w:fill="auto"/>
                </w:tcPr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Témaválasztás</w:t>
                  </w:r>
                </w:p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kapcsolódjon a verseny témaköréhez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C2141" w:rsidRPr="00F13ABB" w:rsidRDefault="009C2141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1 </w:t>
                  </w:r>
                  <w:proofErr w:type="spellStart"/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9C2141" w:rsidRPr="00F13ABB" w:rsidTr="00F0505C">
              <w:trPr>
                <w:trHeight w:val="343"/>
                <w:jc w:val="center"/>
              </w:trPr>
              <w:tc>
                <w:tcPr>
                  <w:tcW w:w="3730" w:type="dxa"/>
                  <w:shd w:val="clear" w:color="auto" w:fill="auto"/>
                </w:tcPr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Adatok a könyvről:</w:t>
                  </w:r>
                </w:p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- szerző, cím, 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C2141" w:rsidRPr="00F13ABB" w:rsidRDefault="009C2141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1 </w:t>
                  </w:r>
                  <w:proofErr w:type="spellStart"/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9C2141" w:rsidRPr="00F13ABB" w:rsidTr="00F0505C">
              <w:trPr>
                <w:trHeight w:val="343"/>
                <w:jc w:val="center"/>
              </w:trPr>
              <w:tc>
                <w:tcPr>
                  <w:tcW w:w="3730" w:type="dxa"/>
                  <w:shd w:val="clear" w:color="auto" w:fill="auto"/>
                </w:tcPr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- további adatok: kiadás éve, kiadó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C2141" w:rsidRPr="00F13ABB" w:rsidRDefault="009C2141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1 </w:t>
                  </w:r>
                  <w:proofErr w:type="spellStart"/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9C2141" w:rsidRPr="00F13ABB" w:rsidTr="00F0505C">
              <w:trPr>
                <w:trHeight w:val="343"/>
                <w:jc w:val="center"/>
              </w:trPr>
              <w:tc>
                <w:tcPr>
                  <w:tcW w:w="3730" w:type="dxa"/>
                  <w:shd w:val="clear" w:color="auto" w:fill="auto"/>
                </w:tcPr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Érvelés</w:t>
                  </w:r>
                </w:p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stilisztikailag, logikailag helytálló legyen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C2141" w:rsidRPr="00F13ABB" w:rsidRDefault="009C2141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proofErr w:type="spellStart"/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max</w:t>
                  </w:r>
                  <w:proofErr w:type="spellEnd"/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. 3 </w:t>
                  </w:r>
                  <w:proofErr w:type="spellStart"/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9C2141" w:rsidRPr="00F13ABB" w:rsidTr="00F0505C">
              <w:trPr>
                <w:trHeight w:val="343"/>
                <w:jc w:val="center"/>
              </w:trPr>
              <w:tc>
                <w:tcPr>
                  <w:tcW w:w="3730" w:type="dxa"/>
                  <w:shd w:val="clear" w:color="auto" w:fill="auto"/>
                </w:tcPr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- a mű Mátyáshoz kapcsolása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C2141" w:rsidRPr="00F13ABB" w:rsidRDefault="009C2141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1 </w:t>
                  </w:r>
                  <w:proofErr w:type="spellStart"/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9C2141" w:rsidRPr="00F13ABB" w:rsidTr="00F0505C">
              <w:trPr>
                <w:trHeight w:val="343"/>
                <w:jc w:val="center"/>
              </w:trPr>
              <w:tc>
                <w:tcPr>
                  <w:tcW w:w="3730" w:type="dxa"/>
                  <w:shd w:val="clear" w:color="auto" w:fill="auto"/>
                </w:tcPr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Kortársainak ajánlja</w:t>
                  </w:r>
                </w:p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nem fogadható el a „mindenkinek ajánlom”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C2141" w:rsidRPr="00F13ABB" w:rsidRDefault="009C2141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1 </w:t>
                  </w:r>
                  <w:proofErr w:type="spellStart"/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9C2141" w:rsidRPr="00F13ABB" w:rsidTr="00F0505C">
              <w:trPr>
                <w:trHeight w:val="343"/>
                <w:jc w:val="center"/>
              </w:trPr>
              <w:tc>
                <w:tcPr>
                  <w:tcW w:w="3730" w:type="dxa"/>
                  <w:shd w:val="clear" w:color="auto" w:fill="auto"/>
                </w:tcPr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Formai követelmény</w:t>
                  </w:r>
                </w:p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- olvasható, esztétikus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C2141" w:rsidRPr="00F13ABB" w:rsidRDefault="009C2141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1 </w:t>
                  </w:r>
                  <w:proofErr w:type="spellStart"/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9C2141" w:rsidRPr="00F13ABB" w:rsidTr="00F0505C">
              <w:trPr>
                <w:trHeight w:val="343"/>
                <w:jc w:val="center"/>
              </w:trPr>
              <w:tc>
                <w:tcPr>
                  <w:tcW w:w="3730" w:type="dxa"/>
                  <w:shd w:val="clear" w:color="auto" w:fill="auto"/>
                </w:tcPr>
                <w:p w:rsidR="009C2141" w:rsidRPr="00F13ABB" w:rsidRDefault="009C2141" w:rsidP="00F0505C">
                  <w:pPr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- terjedelmi korlátok betartása,15-20 sor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C2141" w:rsidRPr="00F13ABB" w:rsidRDefault="009C2141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1 </w:t>
                  </w:r>
                  <w:proofErr w:type="spellStart"/>
                  <w:r w:rsidRPr="00F13ABB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9C2141" w:rsidRPr="00F13ABB" w:rsidTr="00F0505C">
              <w:trPr>
                <w:trHeight w:val="343"/>
                <w:jc w:val="center"/>
              </w:trPr>
              <w:tc>
                <w:tcPr>
                  <w:tcW w:w="3730" w:type="dxa"/>
                  <w:shd w:val="clear" w:color="auto" w:fill="auto"/>
                </w:tcPr>
                <w:p w:rsidR="009C2141" w:rsidRPr="00F13ABB" w:rsidRDefault="009C2141" w:rsidP="00F0505C">
                  <w:pPr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Összesen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C2141" w:rsidRPr="00F13ABB" w:rsidRDefault="009C2141" w:rsidP="00F0505C">
                  <w:pPr>
                    <w:jc w:val="right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proofErr w:type="spellStart"/>
                  <w:r w:rsidRPr="00F13ABB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max</w:t>
                  </w:r>
                  <w:proofErr w:type="spellEnd"/>
                  <w:proofErr w:type="gramStart"/>
                  <w:r w:rsidRPr="00F13ABB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.:</w:t>
                  </w:r>
                  <w:proofErr w:type="gramEnd"/>
                  <w:r w:rsidRPr="00F13ABB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 xml:space="preserve"> 10 </w:t>
                  </w:r>
                  <w:proofErr w:type="spellStart"/>
                  <w:r w:rsidRPr="00F13ABB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</w:tbl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  <w:r w:rsidRPr="00F13ABB">
              <w:rPr>
                <w:rFonts w:ascii="Garamond" w:hAnsi="Garamond"/>
                <w:iCs/>
                <w:sz w:val="16"/>
                <w:szCs w:val="16"/>
              </w:rPr>
              <w:tab/>
            </w: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</w:rPr>
            </w:pPr>
          </w:p>
          <w:p w:rsidR="009C2141" w:rsidRPr="00F13ABB" w:rsidRDefault="009C2141" w:rsidP="00F0505C">
            <w:pPr>
              <w:jc w:val="right"/>
              <w:rPr>
                <w:rFonts w:ascii="Garamond" w:hAnsi="Garamond"/>
              </w:rPr>
            </w:pPr>
          </w:p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3" name="Kép 4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2" name="Kép 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1" name="Kép 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0" name="Kép 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9" name="Kép 3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8" name="Kép 3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7" name="Kép 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6" name="Kép 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5" name="Kép 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4" name="Kép 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3" name="Kép 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2" name="Kép 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1" name="Kép 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0" name="Kép 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14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90.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C214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91.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C214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92.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C214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93.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C214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94.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C214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95.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C214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96.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C214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97.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C214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98.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C2141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9" name="Kép 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8" name="Kép 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7" name="Kép 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6" name="Kép 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5" name="Kép 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4" name="Kép 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3" name="Kép 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2" name="Kép 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1" name="Kép 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0" name="Kép 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9" name="Kép 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8" name="Kép 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7" name="Kép 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6" name="Kép 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5" name="Kép 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4" name="Kép 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3" name="Kép 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2" name="Kép 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1" name="Kép 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0" name="Kép 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9" name="Kép 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" name="Kép 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Kép 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Kép 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" name="Kép 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Kép 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Kép 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Kép 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Kép 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99.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1" w:rsidRPr="00F13ABB" w:rsidRDefault="009C2141" w:rsidP="00F0505C">
            <w:pPr>
              <w:jc w:val="right"/>
              <w:rPr>
                <w:rFonts w:ascii="Garamond" w:hAnsi="Garamond"/>
                <w:bCs/>
                <w:sz w:val="16"/>
                <w:szCs w:val="16"/>
              </w:rPr>
            </w:pPr>
          </w:p>
        </w:tc>
      </w:tr>
    </w:tbl>
    <w:p w:rsidR="005E61C3" w:rsidRDefault="00CB3D74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74" w:rsidRDefault="00CB3D74" w:rsidP="009C2141">
      <w:r>
        <w:separator/>
      </w:r>
    </w:p>
  </w:endnote>
  <w:endnote w:type="continuationSeparator" w:id="0">
    <w:p w:rsidR="00CB3D74" w:rsidRDefault="00CB3D74" w:rsidP="009C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41" w:rsidRDefault="009C214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41" w:rsidRPr="00850CAD" w:rsidRDefault="009C2141" w:rsidP="009C2141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9C2141" w:rsidRPr="00850CAD" w:rsidRDefault="009C2141" w:rsidP="009C214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9C2141" w:rsidRPr="009C2141" w:rsidRDefault="009C2141" w:rsidP="009C214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41" w:rsidRDefault="009C214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74" w:rsidRDefault="00CB3D74" w:rsidP="009C2141">
      <w:r>
        <w:separator/>
      </w:r>
    </w:p>
  </w:footnote>
  <w:footnote w:type="continuationSeparator" w:id="0">
    <w:p w:rsidR="00CB3D74" w:rsidRDefault="00CB3D74" w:rsidP="009C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41" w:rsidRDefault="009C214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41" w:rsidRDefault="009C214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41" w:rsidRDefault="009C214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1"/>
    <w:rsid w:val="00906B61"/>
    <w:rsid w:val="009C2141"/>
    <w:rsid w:val="00CB3D74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5EAD33-3FBC-45F2-A9B5-2A4CE144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2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21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21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9C21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C214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2017-07-26T12:15:00Z</dcterms:created>
  <dcterms:modified xsi:type="dcterms:W3CDTF">2017-07-26T12:15:00Z</dcterms:modified>
</cp:coreProperties>
</file>